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5454" w14:textId="77777777" w:rsidR="00ED7043" w:rsidRPr="00436CD3" w:rsidRDefault="00ED7043" w:rsidP="00ED7043">
      <w:pPr>
        <w:pBdr>
          <w:bottom w:val="single" w:sz="24" w:space="6" w:color="FDBF14"/>
        </w:pBdr>
        <w:shd w:val="clear" w:color="auto" w:fill="FFFFFF"/>
        <w:spacing w:after="160" w:line="272" w:lineRule="atLeast"/>
        <w:outlineLvl w:val="0"/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</w:pPr>
      <w:bookmarkStart w:id="0" w:name="_GoBack"/>
      <w:bookmarkEnd w:id="0"/>
      <w:r w:rsidRPr="00436CD3"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  <w:t>Self-referra</w:t>
      </w:r>
      <w:r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  <w:t xml:space="preserve">l to Outpatient Physiotherapy </w:t>
      </w:r>
      <w:r w:rsidR="00986D70"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  <w:t xml:space="preserve">in Dorset </w:t>
      </w:r>
    </w:p>
    <w:p w14:paraId="7225DD6D" w14:textId="77777777" w:rsidR="00986D70" w:rsidRDefault="00986D70" w:rsidP="00986D70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As part of the Dorset wide Physiotherapy services review we have been working to 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enable </w:t>
      </w: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self-referral to Outpatient Physiotherapy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consistently</w:t>
      </w: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across Dorset. </w:t>
      </w:r>
    </w:p>
    <w:p w14:paraId="31AC804E" w14:textId="77777777" w:rsidR="00986D70" w:rsidRPr="00986D70" w:rsidRDefault="00ED7043" w:rsidP="00986D70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This process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has been shown to save GP time, money and workload </w:t>
      </w: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and create further efficiency savings in Physiotherapy (see below). </w:t>
      </w:r>
      <w:r w:rsidR="00986D70"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The Quality, Innovation, Productivity and Prevention (QIPP) programme in England has endorsed self-referral for musculoskeletal disorders (MSDs) to give patients easier access to treatment. </w:t>
      </w:r>
      <w:r w:rsid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Self-referral to Physiotherapy </w:t>
      </w:r>
      <w:r w:rsidR="00986D70"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currently </w:t>
      </w:r>
      <w:r w:rsid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operates </w:t>
      </w:r>
      <w:r w:rsidR="00986D70"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in parts of Dorset and many locations across the country. </w:t>
      </w:r>
    </w:p>
    <w:p w14:paraId="41C304C8" w14:textId="77777777" w:rsidR="00ED7043" w:rsidRPr="00FA7EA2" w:rsidRDefault="00986D70" w:rsidP="00FA7EA2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The service will be available from the </w:t>
      </w:r>
      <w:r w:rsidRPr="00986D70">
        <w:rPr>
          <w:rFonts w:ascii="Arial" w:eastAsia="Times New Roman" w:hAnsi="Arial" w:cs="Arial"/>
          <w:b/>
          <w:color w:val="555555"/>
          <w:sz w:val="21"/>
          <w:szCs w:val="21"/>
          <w:lang w:eastAsia="en-GB"/>
        </w:rPr>
        <w:t>1</w:t>
      </w:r>
      <w:r w:rsidRPr="00986D70">
        <w:rPr>
          <w:rFonts w:ascii="Arial" w:eastAsia="Times New Roman" w:hAnsi="Arial" w:cs="Arial"/>
          <w:b/>
          <w:color w:val="555555"/>
          <w:sz w:val="21"/>
          <w:szCs w:val="21"/>
          <w:vertAlign w:val="superscript"/>
          <w:lang w:eastAsia="en-GB"/>
        </w:rPr>
        <w:t>st</w:t>
      </w:r>
      <w:r w:rsidRPr="00986D70">
        <w:rPr>
          <w:rFonts w:ascii="Arial" w:eastAsia="Times New Roman" w:hAnsi="Arial" w:cs="Arial"/>
          <w:b/>
          <w:color w:val="555555"/>
          <w:sz w:val="21"/>
          <w:szCs w:val="21"/>
          <w:lang w:eastAsia="en-GB"/>
        </w:rPr>
        <w:t xml:space="preserve"> July 2020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to all patients with a Dorset GP</w:t>
      </w: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. </w:t>
      </w:r>
    </w:p>
    <w:p w14:paraId="719B3B54" w14:textId="77777777" w:rsidR="00986D70" w:rsidRDefault="00986D70" w:rsidP="00E42E83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Currently </w:t>
      </w: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this referral route </w:t>
      </w:r>
      <w:r w:rsidRPr="00986D70">
        <w:rPr>
          <w:rFonts w:ascii="Arial" w:eastAsia="Times New Roman" w:hAnsi="Arial" w:cs="Arial"/>
          <w:color w:val="555555"/>
          <w:sz w:val="21"/>
          <w:szCs w:val="21"/>
          <w:u w:val="single"/>
          <w:lang w:eastAsia="en-GB"/>
        </w:rPr>
        <w:t>excludes</w:t>
      </w: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patients requiring specialist Physiotherapy.</w:t>
      </w:r>
      <w:r>
        <w:rPr>
          <w:rFonts w:ascii="Arial" w:eastAsia="Times New Roman" w:hAnsi="Arial" w:cs="Arial"/>
          <w:b/>
          <w:color w:val="555555"/>
          <w:sz w:val="21"/>
          <w:szCs w:val="21"/>
          <w:lang w:eastAsia="en-GB"/>
        </w:rPr>
        <w:t xml:space="preserve"> </w:t>
      </w:r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If your patient requires </w:t>
      </w:r>
      <w:proofErr w:type="spellStart"/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Womens</w:t>
      </w:r>
      <w:proofErr w:type="spellEnd"/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and </w:t>
      </w:r>
      <w:proofErr w:type="spellStart"/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Mens</w:t>
      </w:r>
      <w:proofErr w:type="spellEnd"/>
      <w:r w:rsidRP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Health, Neurological, Respiratory</w:t>
      </w:r>
      <w:r w:rsidR="00B721F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or Paediatric Physiotherapy</w:t>
      </w:r>
      <w:r w:rsidR="00E42E83" w:rsidRPr="00542F6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they will</w:t>
      </w:r>
      <w:r w:rsidR="00B721F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require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a </w:t>
      </w:r>
      <w:r w:rsidR="00B721F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direct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referral to your local specialist service. </w:t>
      </w:r>
    </w:p>
    <w:p w14:paraId="6B3FFB13" w14:textId="77777777" w:rsidR="00FA7EA2" w:rsidRDefault="00FA7EA2" w:rsidP="00E42E83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If a patient contacts the practice directly or via e consult regardi</w:t>
      </w:r>
      <w:r w:rsidR="00B721F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ng a musculoskeletal condition </w:t>
      </w: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p</w:t>
      </w:r>
      <w:r w:rsidR="00986D70"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lease encourage </w:t>
      </w: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them </w:t>
      </w:r>
      <w:r w:rsidR="00986D70"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to </w:t>
      </w: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use the self-management resources on our website </w:t>
      </w:r>
      <w:hyperlink r:id="rId5" w:history="1">
        <w:r w:rsidR="00986D70" w:rsidRPr="00FA7EA2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www.mskdorset.nhs.uk</w:t>
        </w:r>
      </w:hyperlink>
      <w:r w:rsidRPr="00FA7EA2">
        <w:rPr>
          <w:rStyle w:val="Hyperlink"/>
          <w:rFonts w:ascii="Arial" w:eastAsia="Times New Roman" w:hAnsi="Arial" w:cs="Arial"/>
          <w:sz w:val="21"/>
          <w:szCs w:val="21"/>
          <w:u w:val="none"/>
          <w:lang w:eastAsia="en-GB"/>
        </w:rPr>
        <w:t xml:space="preserve"> </w:t>
      </w: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where t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>hey will be able to find the self-</w:t>
      </w: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referral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form on the home page if required. </w:t>
      </w:r>
    </w:p>
    <w:p w14:paraId="109007F5" w14:textId="77777777" w:rsidR="00986D70" w:rsidRPr="00FA7EA2" w:rsidRDefault="00FA7EA2" w:rsidP="00E42E83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An </w:t>
      </w:r>
      <w:r w:rsidR="00986D70"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information leaflet (attached) is available to provide to patients,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electronically or by hand, </w:t>
      </w:r>
      <w:r w:rsidR="00986D70"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explaining the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new </w:t>
      </w:r>
      <w:r w:rsidR="00986D70"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process. </w:t>
      </w:r>
    </w:p>
    <w:p w14:paraId="008E05D1" w14:textId="77777777" w:rsidR="00986D70" w:rsidRDefault="00986D70" w:rsidP="00E42E83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Self-referral may not be appropriate for your patient. You may wish to provide us with some specific information. 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In this instance p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lease complete a referral in your usual way, </w:t>
      </w:r>
      <w:r w:rsidRPr="00FA7EA2">
        <w:rPr>
          <w:rFonts w:ascii="Arial" w:eastAsia="Times New Roman" w:hAnsi="Arial" w:cs="Arial"/>
          <w:b/>
          <w:color w:val="555555"/>
          <w:sz w:val="21"/>
          <w:szCs w:val="21"/>
          <w:lang w:eastAsia="en-GB"/>
        </w:rPr>
        <w:t>or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you may like to use the electronic </w:t>
      </w:r>
      <w:r w:rsidRPr="00986D70">
        <w:rPr>
          <w:rFonts w:ascii="Arial" w:eastAsia="Times New Roman" w:hAnsi="Arial" w:cs="Arial"/>
          <w:i/>
          <w:color w:val="555555"/>
          <w:sz w:val="21"/>
          <w:szCs w:val="21"/>
          <w:lang w:eastAsia="en-GB"/>
        </w:rPr>
        <w:t>Healthcare Professional Referral Form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at </w:t>
      </w:r>
      <w:hyperlink r:id="rId6" w:history="1">
        <w:r w:rsidRPr="00BE7325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www.mskdorset.nhs.uk</w:t>
        </w:r>
      </w:hyperlink>
      <w:r w:rsidR="00B721F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. Here you can upload and attach 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a file or existing referral form template. The referral will be sent electronically to the patients requested Physiotherapy team.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</w:t>
      </w:r>
    </w:p>
    <w:p w14:paraId="6381E529" w14:textId="77777777" w:rsidR="00986D70" w:rsidRDefault="00986D70" w:rsidP="00E42E83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If the patient does not have access to the internet, and they do not have a friend or relative able and appropriate to help them the patient can use a paper self-referral form (attached). The patient should 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obtain from the surgery, complete, and hand back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to your administration team where it 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should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be attached 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to the </w:t>
      </w:r>
      <w:r w:rsidRPr="00986D70">
        <w:rPr>
          <w:rFonts w:ascii="Arial" w:eastAsia="Times New Roman" w:hAnsi="Arial" w:cs="Arial"/>
          <w:i/>
          <w:color w:val="555555"/>
          <w:sz w:val="21"/>
          <w:szCs w:val="21"/>
          <w:lang w:eastAsia="en-GB"/>
        </w:rPr>
        <w:t>Healthcare Professional Referral Form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at </w:t>
      </w:r>
      <w:hyperlink r:id="rId7" w:history="1">
        <w:r w:rsidRPr="00BE7325">
          <w:rPr>
            <w:rStyle w:val="Hyperlink"/>
            <w:rFonts w:ascii="Arial" w:eastAsia="Times New Roman" w:hAnsi="Arial" w:cs="Arial"/>
            <w:sz w:val="21"/>
            <w:szCs w:val="21"/>
            <w:lang w:eastAsia="en-GB"/>
          </w:rPr>
          <w:t>www.mskdorset.nhs.uk</w:t>
        </w:r>
      </w:hyperlink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</w:t>
      </w:r>
    </w:p>
    <w:p w14:paraId="0941459E" w14:textId="77777777" w:rsidR="00B721F6" w:rsidRDefault="00E42E83" w:rsidP="00B721F6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On receipt of the referral a senior Physiotherapist will triage the information </w:t>
      </w:r>
      <w:r w:rsidR="00986D70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within 1 working day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according to </w:t>
      </w:r>
      <w:r w:rsid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the condition and severity.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</w:t>
      </w:r>
      <w:r w:rsidR="001E5D49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Urgent (within 2-5 days) Soon (within 10-14 days)</w:t>
      </w:r>
      <w:r w:rsidR="006B57FA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Routin</w:t>
      </w:r>
      <w:r w:rsidR="006B57FA" w:rsidRPr="00B721F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e (within 6 weeks)</w:t>
      </w:r>
      <w:r w:rsidR="001E5D49" w:rsidRPr="00B721F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. </w:t>
      </w:r>
    </w:p>
    <w:p w14:paraId="281876AC" w14:textId="77777777" w:rsidR="00B721F6" w:rsidRPr="00B721F6" w:rsidRDefault="00B721F6" w:rsidP="00B721F6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B721F6">
        <w:rPr>
          <w:rFonts w:ascii="Arial" w:eastAsia="Times New Roman" w:hAnsi="Arial" w:cs="Arial"/>
          <w:color w:val="595959" w:themeColor="text1" w:themeTint="A6"/>
          <w:sz w:val="21"/>
          <w:szCs w:val="21"/>
          <w:lang w:eastAsia="en-GB"/>
        </w:rPr>
        <w:t xml:space="preserve">This process replaces any previous self-referral systems and forms currently in place. </w:t>
      </w:r>
      <w:r w:rsidRPr="00B721F6">
        <w:rPr>
          <w:rFonts w:ascii="Arial" w:hAnsi="Arial" w:cs="Arial"/>
          <w:color w:val="595959" w:themeColor="text1" w:themeTint="A6"/>
          <w:sz w:val="21"/>
          <w:szCs w:val="21"/>
        </w:rPr>
        <w:t>If you hold a self-referral form on your Practice website which your patients would normally refer through, please could you remove this and replace with the link to the self-referral form located on the MSK Matters website.</w:t>
      </w:r>
    </w:p>
    <w:p w14:paraId="4D8D67C5" w14:textId="417F2949" w:rsidR="00FA7EA2" w:rsidRPr="00FA7EA2" w:rsidRDefault="00FA7EA2" w:rsidP="00122507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FA7EA2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We hope you find the new system valuable. If you have any questions or concerns please contact 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us at </w:t>
      </w:r>
      <w:r w:rsidR="00090306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msk</w:t>
      </w:r>
      <w:r>
        <w:rPr>
          <w:rFonts w:ascii="Arial" w:eastAsia="Times New Roman" w:hAnsi="Arial" w:cs="Arial"/>
          <w:color w:val="555555"/>
          <w:sz w:val="21"/>
          <w:szCs w:val="21"/>
          <w:lang w:eastAsia="en-GB"/>
        </w:rPr>
        <w:t>@dorsetccg.nhs.uk</w:t>
      </w:r>
    </w:p>
    <w:p w14:paraId="44D2CEC0" w14:textId="77777777" w:rsidR="00ED7043" w:rsidRDefault="00ED7043" w:rsidP="00436CD3">
      <w:pPr>
        <w:pBdr>
          <w:bottom w:val="single" w:sz="24" w:space="6" w:color="FDBF14"/>
        </w:pBdr>
        <w:shd w:val="clear" w:color="auto" w:fill="FFFFFF"/>
        <w:spacing w:after="160" w:line="272" w:lineRule="atLeast"/>
        <w:outlineLvl w:val="0"/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</w:pPr>
    </w:p>
    <w:p w14:paraId="665281F3" w14:textId="77777777" w:rsidR="00436CD3" w:rsidRPr="00436CD3" w:rsidRDefault="00436CD3" w:rsidP="00436CD3">
      <w:pPr>
        <w:pBdr>
          <w:bottom w:val="single" w:sz="24" w:space="6" w:color="FDBF14"/>
        </w:pBdr>
        <w:shd w:val="clear" w:color="auto" w:fill="FFFFFF"/>
        <w:spacing w:after="160" w:line="272" w:lineRule="atLeast"/>
        <w:outlineLvl w:val="0"/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</w:pPr>
      <w:r w:rsidRPr="00436CD3"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  <w:lastRenderedPageBreak/>
        <w:t>Self-referra</w:t>
      </w:r>
      <w:r w:rsidR="00ED7043">
        <w:rPr>
          <w:rFonts w:ascii="Arial" w:eastAsia="Times New Roman" w:hAnsi="Arial" w:cs="Arial"/>
          <w:b/>
          <w:bCs/>
          <w:color w:val="2E2E3B"/>
          <w:kern w:val="36"/>
          <w:sz w:val="51"/>
          <w:szCs w:val="51"/>
          <w:lang w:eastAsia="en-GB"/>
        </w:rPr>
        <w:t>l evidence and benefits for GPs</w:t>
      </w:r>
    </w:p>
    <w:p w14:paraId="06503E31" w14:textId="77777777" w:rsidR="00436CD3" w:rsidRPr="00436CD3" w:rsidRDefault="00436CD3" w:rsidP="00436CD3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454454"/>
          <w:sz w:val="30"/>
          <w:szCs w:val="30"/>
          <w:lang w:eastAsia="en-GB"/>
        </w:rPr>
      </w:pPr>
      <w:r w:rsidRPr="00436CD3">
        <w:rPr>
          <w:rFonts w:ascii="Arial" w:eastAsia="Times New Roman" w:hAnsi="Arial" w:cs="Arial"/>
          <w:color w:val="454454"/>
          <w:sz w:val="30"/>
          <w:szCs w:val="30"/>
          <w:lang w:eastAsia="en-GB"/>
        </w:rPr>
        <w:t>Self-referral saves GP time, money and workload. </w:t>
      </w:r>
    </w:p>
    <w:p w14:paraId="4F6E9B64" w14:textId="77777777" w:rsidR="00436CD3" w:rsidRPr="00436CD3" w:rsidRDefault="00436CD3" w:rsidP="00ED7043">
      <w:pPr>
        <w:shd w:val="clear" w:color="auto" w:fill="FFFFFF"/>
        <w:spacing w:after="257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22222"/>
          <w:sz w:val="27"/>
          <w:szCs w:val="27"/>
          <w:lang w:eastAsia="en-GB"/>
        </w:rPr>
        <w:drawing>
          <wp:inline distT="0" distB="0" distL="0" distR="0" wp14:anchorId="2C035F0A" wp14:editId="1861D1E9">
            <wp:extent cx="4762500" cy="2377440"/>
            <wp:effectExtent l="0" t="0" r="0" b="3810"/>
            <wp:docPr id="5" name="Picture 5" descr="File 15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 1503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CD3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br/>
        <w:t>Self-referral: key considerations for GPs</w:t>
      </w:r>
    </w:p>
    <w:p w14:paraId="614C3101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Up to 30% of GP consultations are for people with musculoskeletal problems. Patient self-referral to physiotherapy frees up GP time</w:t>
      </w:r>
    </w:p>
    <w:p w14:paraId="4300DFDC" w14:textId="77777777" w:rsidR="00436CD3" w:rsidRPr="00436CD3" w:rsidRDefault="00436CD3" w:rsidP="00436CD3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Self-referral reduces associated administration costs and gives patients faster access</w:t>
      </w:r>
    </w:p>
    <w:p w14:paraId="1398D55D" w14:textId="77777777" w:rsidR="00436CD3" w:rsidRPr="00436CD3" w:rsidRDefault="00436CD3" w:rsidP="00436CD3">
      <w:pPr>
        <w:numPr>
          <w:ilvl w:val="0"/>
          <w:numId w:val="1"/>
        </w:numPr>
        <w:shd w:val="clear" w:color="auto" w:fill="FFFFFF"/>
        <w:spacing w:after="257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GP-suggested </w:t>
      </w:r>
      <w:proofErr w:type="spellStart"/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self referral</w:t>
      </w:r>
      <w:proofErr w:type="spellEnd"/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 xml:space="preserve"> allows patients to make their own choices - patients like it!</w:t>
      </w:r>
    </w:p>
    <w:p w14:paraId="693E0D7A" w14:textId="77777777" w:rsidR="00436CD3" w:rsidRPr="00436CD3" w:rsidRDefault="00436CD3" w:rsidP="00436CD3">
      <w:pPr>
        <w:shd w:val="clear" w:color="auto" w:fill="FFFFFF"/>
        <w:spacing w:before="360" w:after="257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436CD3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Self-referral: key considerations for employers</w:t>
      </w:r>
    </w:p>
    <w:p w14:paraId="0C97E01C" w14:textId="77777777" w:rsidR="00436CD3" w:rsidRPr="00436CD3" w:rsidRDefault="00436CD3" w:rsidP="00436CD3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Self-referral returns employees to work quickly</w:t>
      </w:r>
    </w:p>
    <w:p w14:paraId="397D3D08" w14:textId="77777777" w:rsidR="00436CD3" w:rsidRPr="00436CD3" w:rsidRDefault="00436CD3" w:rsidP="00436CD3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People who self-refer to physiotherapy take fewer days off and are 50% less likely to be off for more than a month compared to conventional GP referral</w:t>
      </w:r>
    </w:p>
    <w:p w14:paraId="149B31DA" w14:textId="77777777" w:rsidR="00436CD3" w:rsidRPr="00436CD3" w:rsidRDefault="00436CD3" w:rsidP="00436CD3">
      <w:pPr>
        <w:numPr>
          <w:ilvl w:val="0"/>
          <w:numId w:val="2"/>
        </w:numPr>
        <w:shd w:val="clear" w:color="auto" w:fill="FFFFFF"/>
        <w:spacing w:after="17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Quick access is key. Evidence shows that early intervention for low back pain returns employees to work up to five weeks earlier, with a 40% reduction in recurrence the following year</w:t>
      </w:r>
    </w:p>
    <w:p w14:paraId="20D438C9" w14:textId="77777777" w:rsidR="00436CD3" w:rsidRPr="00436CD3" w:rsidRDefault="00436CD3" w:rsidP="00436CD3">
      <w:pPr>
        <w:shd w:val="clear" w:color="auto" w:fill="FFFFFF"/>
        <w:spacing w:before="360" w:after="257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436CD3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Self-referral: delivering value to patients</w:t>
      </w:r>
    </w:p>
    <w:p w14:paraId="08934087" w14:textId="77777777" w:rsidR="00436CD3" w:rsidRPr="00436CD3" w:rsidRDefault="00436CD3" w:rsidP="00436CD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Self-referral puts individuals in control of their care, promoting self-management and health-focused behaviour</w:t>
      </w:r>
    </w:p>
    <w:p w14:paraId="141F35CA" w14:textId="77777777" w:rsidR="00436CD3" w:rsidRPr="00436CD3" w:rsidRDefault="00436CD3" w:rsidP="00436CD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People with complex and long-term conditions have a simple route in and out of services. It gives patients an easy route back into the service</w:t>
      </w:r>
    </w:p>
    <w:p w14:paraId="0C5F4972" w14:textId="77777777" w:rsidR="00436CD3" w:rsidRPr="00436CD3" w:rsidRDefault="00436CD3" w:rsidP="00436CD3">
      <w:pPr>
        <w:numPr>
          <w:ilvl w:val="0"/>
          <w:numId w:val="3"/>
        </w:numPr>
        <w:shd w:val="clear" w:color="auto" w:fill="FFFFFF"/>
        <w:spacing w:after="171" w:line="240" w:lineRule="auto"/>
        <w:ind w:left="0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Evidence shows better treatment outcomes</w:t>
      </w:r>
    </w:p>
    <w:p w14:paraId="3E9163B2" w14:textId="77777777" w:rsidR="00436CD3" w:rsidRPr="00436CD3" w:rsidRDefault="00436CD3" w:rsidP="00436CD3">
      <w:pPr>
        <w:pBdr>
          <w:top w:val="single" w:sz="18" w:space="7" w:color="FDBF14"/>
          <w:bottom w:val="dotted" w:sz="6" w:space="10" w:color="C8C8C8"/>
        </w:pBdr>
        <w:shd w:val="clear" w:color="auto" w:fill="FFFFFF"/>
        <w:spacing w:before="533" w:line="240" w:lineRule="auto"/>
        <w:outlineLvl w:val="1"/>
        <w:rPr>
          <w:rFonts w:ascii="Arial" w:eastAsia="Times New Roman" w:hAnsi="Arial" w:cs="Arial"/>
          <w:b/>
          <w:bCs/>
          <w:color w:val="2E2E3B"/>
          <w:sz w:val="27"/>
          <w:szCs w:val="27"/>
          <w:lang w:eastAsia="en-GB"/>
        </w:rPr>
      </w:pPr>
      <w:r w:rsidRPr="00436CD3">
        <w:rPr>
          <w:rFonts w:ascii="Arial" w:eastAsia="Times New Roman" w:hAnsi="Arial" w:cs="Arial"/>
          <w:b/>
          <w:bCs/>
          <w:color w:val="2E2E3B"/>
          <w:sz w:val="27"/>
          <w:szCs w:val="27"/>
          <w:lang w:eastAsia="en-GB"/>
        </w:rPr>
        <w:lastRenderedPageBreak/>
        <w:t>Patient self-referral: saving time and saving money</w:t>
      </w:r>
    </w:p>
    <w:p w14:paraId="6AAA6FDD" w14:textId="77777777" w:rsidR="00436CD3" w:rsidRPr="00436CD3" w:rsidRDefault="00436CD3" w:rsidP="00436CD3">
      <w:pPr>
        <w:shd w:val="clear" w:color="auto" w:fill="F5F5F5"/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444444"/>
          <w:sz w:val="21"/>
          <w:szCs w:val="21"/>
          <w:lang w:eastAsia="en-GB"/>
        </w:rPr>
        <w:t>'Allowing patients to self-refer reduces the overall musculoskeletal workload for GP practices. This frees up appointment slots in busy clinics,' </w:t>
      </w:r>
      <w:r w:rsidRPr="00436CD3">
        <w:rPr>
          <w:rFonts w:ascii="Arial" w:eastAsia="Times New Roman" w:hAnsi="Arial" w:cs="Arial"/>
          <w:color w:val="444444"/>
          <w:sz w:val="21"/>
          <w:szCs w:val="21"/>
          <w:lang w:eastAsia="en-GB"/>
        </w:rPr>
        <w:br/>
      </w:r>
      <w:r w:rsidRPr="00436CD3">
        <w:rPr>
          <w:rFonts w:ascii="Arial" w:eastAsia="Times New Roman" w:hAnsi="Arial" w:cs="Arial"/>
          <w:color w:val="444444"/>
          <w:sz w:val="21"/>
          <w:szCs w:val="21"/>
          <w:lang w:eastAsia="en-GB"/>
        </w:rPr>
        <w:br/>
      </w:r>
      <w:r w:rsidRPr="00436CD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 xml:space="preserve">Dr </w:t>
      </w:r>
      <w:proofErr w:type="spellStart"/>
      <w:r w:rsidRPr="00436CD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Lenden</w:t>
      </w:r>
      <w:proofErr w:type="spellEnd"/>
      <w:r w:rsidRPr="00436CD3">
        <w:rPr>
          <w:rFonts w:ascii="Arial" w:eastAsia="Times New Roman" w:hAnsi="Arial" w:cs="Arial"/>
          <w:b/>
          <w:bCs/>
          <w:color w:val="444444"/>
          <w:sz w:val="21"/>
          <w:szCs w:val="21"/>
          <w:lang w:eastAsia="en-GB"/>
        </w:rPr>
        <w:t>, Plymouth</w:t>
      </w:r>
    </w:p>
    <w:p w14:paraId="27926713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The Quality, Innovation, Productivity and Prevention (QIPP) programme in England has endorsed self-referral for musculoskeletal disorders (MSDs) to give patients easier access to treatment.</w:t>
      </w:r>
    </w:p>
    <w:p w14:paraId="36890C0F" w14:textId="77777777" w:rsidR="00436CD3" w:rsidRPr="00436CD3" w:rsidRDefault="00436CD3" w:rsidP="00436CD3">
      <w:pPr>
        <w:shd w:val="clear" w:color="auto" w:fill="FFFFFF"/>
        <w:spacing w:before="360" w:after="257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436CD3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Self-referral saves money</w:t>
      </w:r>
    </w:p>
    <w:p w14:paraId="42A07237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Research on the cost savings of self-referral in Scotland showed an average saving of approximately £2 million each year, considering the costs of patient self-referral were calculated as £66.31 per episode compared to GP referral at £88.99.</w:t>
      </w:r>
    </w:p>
    <w:p w14:paraId="204A8EDC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7BBE91DC" wp14:editId="58EEAA4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92530" cy="1791970"/>
            <wp:effectExtent l="0" t="0" r="7620" b="0"/>
            <wp:wrapTight wrapText="bothSides">
              <wp:wrapPolygon edited="0">
                <wp:start x="0" y="0"/>
                <wp:lineTo x="0" y="21355"/>
                <wp:lineTo x="21393" y="21355"/>
                <wp:lineTo x="21393" y="0"/>
                <wp:lineTo x="0" y="0"/>
              </wp:wrapPolygon>
            </wp:wrapTight>
            <wp:docPr id="2" name="Picture 2" descr="File 19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 1965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The QIPP process updated the costs above in accordance with Department of Health (2011), showing savings of £25,207 per 100,000 people as a result of reducing GP contact, unnecessary prescribing and diagnostic imaging. It also highlighted that the demand for physiotherapy did not increase in the long term.</w:t>
      </w:r>
    </w:p>
    <w:p w14:paraId="67575075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QIPP also showed that an episode of GP-suggested self-referral costs 10% less and an episode of patient self-referral costs 25% less than traditional GP referral.</w:t>
      </w:r>
    </w:p>
    <w:p w14:paraId="1BB67DBC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The English pilot showed 41% of MSD physiotherapy referrals came from the traditional GP route, 35.4% came from GP-prompted self-referral and 23.6% full self-referrals (patient refers themselves to physiotherapy without being told or prompted by a health care professional).</w:t>
      </w:r>
    </w:p>
    <w:p w14:paraId="430257FC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This evidence shows the potential for even greater cost savings in the management of patients with MSDs if full Self-referral were more widely implemented.</w:t>
      </w:r>
    </w:p>
    <w:p w14:paraId="4BF62B59" w14:textId="77777777" w:rsidR="00436CD3" w:rsidRPr="00436CD3" w:rsidRDefault="00436CD3" w:rsidP="00436CD3">
      <w:pPr>
        <w:shd w:val="clear" w:color="auto" w:fill="FFFFFF"/>
        <w:spacing w:before="360" w:after="257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</w:pPr>
      <w:r w:rsidRPr="00436CD3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Self-referral: building the national picture</w:t>
      </w:r>
    </w:p>
    <w:p w14:paraId="3DE9D624" w14:textId="77777777" w:rsidR="00436CD3" w:rsidRPr="00436CD3" w:rsidRDefault="00436CD3" w:rsidP="006B57FA">
      <w:pPr>
        <w:shd w:val="clear" w:color="auto" w:fill="FFFFFF"/>
        <w:spacing w:after="257" w:line="285" w:lineRule="atLeast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en-GB"/>
        </w:rPr>
        <w:drawing>
          <wp:anchor distT="0" distB="0" distL="114300" distR="114300" simplePos="0" relativeHeight="251658240" behindDoc="0" locked="0" layoutInCell="1" allowOverlap="1" wp14:anchorId="5707E55F" wp14:editId="64F75D74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768985" cy="943610"/>
            <wp:effectExtent l="0" t="0" r="0" b="8890"/>
            <wp:wrapSquare wrapText="bothSides"/>
            <wp:docPr id="1" name="Picture 1" descr="File 16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 16156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Results from national self-referral projects in England and Scotland have shown that it's a less expensive model of physiotherapy care than the GP referral route. Self-referral increases user satisfaction and reduces the number of other healthcare interventions such as MRI and x-rays.</w:t>
      </w:r>
    </w:p>
    <w:p w14:paraId="4EC8F0A1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Self-referral also reduces sickness absence and time off work. It's cost-effective in terms of patient time and commitments, and helps to streamline other care pathways.</w:t>
      </w:r>
    </w:p>
    <w:p w14:paraId="0DC42A41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By promoting autonomous decision-making about personal health needs, self-referral can enhance motivation for recovery, enabling speedier return to previous health status.</w:t>
      </w:r>
    </w:p>
    <w:p w14:paraId="3995CA51" w14:textId="77777777" w:rsidR="00436CD3" w:rsidRPr="00436CD3" w:rsidRDefault="00436CD3" w:rsidP="00436CD3">
      <w:pPr>
        <w:shd w:val="clear" w:color="auto" w:fill="FFFFFF"/>
        <w:spacing w:after="257" w:line="240" w:lineRule="auto"/>
        <w:rPr>
          <w:rFonts w:ascii="Arial" w:eastAsia="Times New Roman" w:hAnsi="Arial" w:cs="Arial"/>
          <w:color w:val="555555"/>
          <w:sz w:val="21"/>
          <w:szCs w:val="21"/>
          <w:lang w:eastAsia="en-GB"/>
        </w:rPr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It also has the potential to provide opportunities for targeting particular groups with health needs, such as farmers or minority populations.</w:t>
      </w:r>
    </w:p>
    <w:p w14:paraId="427F62F0" w14:textId="77777777" w:rsidR="00CF22FC" w:rsidRPr="00436CD3" w:rsidRDefault="00436CD3" w:rsidP="00FA7EA2">
      <w:pPr>
        <w:shd w:val="clear" w:color="auto" w:fill="FFFFFF"/>
        <w:spacing w:after="257" w:line="240" w:lineRule="auto"/>
      </w:pPr>
      <w:r w:rsidRPr="00436CD3">
        <w:rPr>
          <w:rFonts w:ascii="Arial" w:eastAsia="Times New Roman" w:hAnsi="Arial" w:cs="Arial"/>
          <w:color w:val="555555"/>
          <w:sz w:val="21"/>
          <w:szCs w:val="21"/>
          <w:lang w:eastAsia="en-GB"/>
        </w:rPr>
        <w:t> </w:t>
      </w:r>
    </w:p>
    <w:sectPr w:rsidR="00CF22FC" w:rsidRPr="00436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1C86"/>
    <w:multiLevelType w:val="multilevel"/>
    <w:tmpl w:val="EBE2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B7F4A"/>
    <w:multiLevelType w:val="multilevel"/>
    <w:tmpl w:val="1B1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74399"/>
    <w:multiLevelType w:val="multilevel"/>
    <w:tmpl w:val="2398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D3"/>
    <w:rsid w:val="00090306"/>
    <w:rsid w:val="00097CA9"/>
    <w:rsid w:val="00122507"/>
    <w:rsid w:val="001E5D49"/>
    <w:rsid w:val="003F184F"/>
    <w:rsid w:val="00436CD3"/>
    <w:rsid w:val="00542F6A"/>
    <w:rsid w:val="00570699"/>
    <w:rsid w:val="0061739A"/>
    <w:rsid w:val="006B57FA"/>
    <w:rsid w:val="008E27DD"/>
    <w:rsid w:val="00986D70"/>
    <w:rsid w:val="00B721F6"/>
    <w:rsid w:val="00C270F6"/>
    <w:rsid w:val="00CF22FC"/>
    <w:rsid w:val="00E42E83"/>
    <w:rsid w:val="00EB4494"/>
    <w:rsid w:val="00ED7043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0A49"/>
  <w15:docId w15:val="{CA6748E3-412F-4E8A-B138-8898248D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C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36C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6CD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36CD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6C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57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38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59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59412">
                                              <w:marLeft w:val="375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dotted" w:sz="6" w:space="9" w:color="C8C8C8"/>
                                                <w:left w:val="none" w:sz="0" w:space="0" w:color="auto"/>
                                                <w:bottom w:val="dotted" w:sz="6" w:space="0" w:color="C8C8C8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skdorset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dorset.nhs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skdorset.nhs.u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BARNES (DHUFT)</dc:creator>
  <cp:lastModifiedBy>James Leyland (Canford Heath Group Practice)</cp:lastModifiedBy>
  <cp:revision>2</cp:revision>
  <dcterms:created xsi:type="dcterms:W3CDTF">2020-08-03T09:32:00Z</dcterms:created>
  <dcterms:modified xsi:type="dcterms:W3CDTF">2020-08-03T09:32:00Z</dcterms:modified>
</cp:coreProperties>
</file>